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4A584" w14:textId="77777777" w:rsidR="00890A16" w:rsidRPr="00890A16" w:rsidRDefault="00890A16" w:rsidP="00890A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890A16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CA"/>
          <w14:ligatures w14:val="none"/>
        </w:rPr>
        <w:t>🧩</w:t>
      </w:r>
      <w:r w:rsidRPr="00890A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 xml:space="preserve"> 1. Understanding “Normal” vs. “Optimal”</w:t>
      </w:r>
    </w:p>
    <w:p w14:paraId="5C5E7CC3" w14:textId="77777777" w:rsidR="00890A16" w:rsidRPr="00890A16" w:rsidRDefault="00890A16" w:rsidP="00890A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Normal ranges reflect averages</w:t>
      </w: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 not necessarily healthy or optimal values. They’re typically based on statistical norms from a mixed population—including those with subclinical or early-stage disease.</w:t>
      </w:r>
    </w:p>
    <w:p w14:paraId="2FE52D71" w14:textId="77777777" w:rsidR="00890A16" w:rsidRPr="00890A16" w:rsidRDefault="00890A16" w:rsidP="00890A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Optimal ranges</w:t>
      </w: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are narrower and aim to represent where function is most efficient—before pathology appears.</w:t>
      </w:r>
    </w:p>
    <w:p w14:paraId="060D1169" w14:textId="77777777" w:rsidR="00890A16" w:rsidRPr="00890A16" w:rsidRDefault="00890A16" w:rsidP="00890A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Example: “Normal” fasting glucose up to 5.6 mmol/L vs. “optimal” being closer to 4.4–5.0 mmol/L to reduce metabolic risk.</w:t>
      </w:r>
    </w:p>
    <w:p w14:paraId="3E6195F4" w14:textId="77777777" w:rsidR="00890A16" w:rsidRPr="00890A16" w:rsidRDefault="00890A16" w:rsidP="00890A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0CFBEEBC">
          <v:rect id="_x0000_i1025" style="width:0;height:1.5pt" o:hralign="center" o:hrstd="t" o:hr="t" fillcolor="#a0a0a0" stroked="f"/>
        </w:pict>
      </w:r>
    </w:p>
    <w:p w14:paraId="40C27CF2" w14:textId="77777777" w:rsidR="00890A16" w:rsidRPr="00890A16" w:rsidRDefault="00890A16" w:rsidP="00890A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890A16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CA"/>
          <w14:ligatures w14:val="none"/>
        </w:rPr>
        <w:t>🔬</w:t>
      </w:r>
      <w:r w:rsidRPr="00890A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 xml:space="preserve"> 2. The Problem </w:t>
      </w:r>
      <w:proofErr w:type="gramStart"/>
      <w:r w:rsidRPr="00890A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With</w:t>
      </w:r>
      <w:proofErr w:type="gramEnd"/>
      <w:r w:rsidRPr="00890A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 xml:space="preserve"> Averages</w:t>
      </w:r>
    </w:p>
    <w:p w14:paraId="00401873" w14:textId="77777777" w:rsidR="00890A16" w:rsidRPr="00890A16" w:rsidRDefault="00890A16" w:rsidP="00890A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Lab reference intervals are population-based, not personalized.</w:t>
      </w:r>
    </w:p>
    <w:p w14:paraId="35F6A0A9" w14:textId="77777777" w:rsidR="00890A16" w:rsidRPr="00890A16" w:rsidRDefault="00890A16" w:rsidP="00890A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They shift over time as disease prevalence changes (e.g., thyroid, blood sugar).</w:t>
      </w:r>
    </w:p>
    <w:p w14:paraId="517E45AB" w14:textId="77777777" w:rsidR="00890A16" w:rsidRPr="00890A16" w:rsidRDefault="00890A16" w:rsidP="00890A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This creates a </w:t>
      </w:r>
      <w:r w:rsidRPr="00890A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moving target</w:t>
      </w: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—as more people become metabolically unhealthy, the “normal” range broadens.</w:t>
      </w:r>
    </w:p>
    <w:p w14:paraId="744383EA" w14:textId="77777777" w:rsidR="00890A16" w:rsidRPr="00890A16" w:rsidRDefault="00890A16" w:rsidP="00890A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38025001">
          <v:rect id="_x0000_i1026" style="width:0;height:1.5pt" o:hralign="center" o:hrstd="t" o:hr="t" fillcolor="#a0a0a0" stroked="f"/>
        </w:pict>
      </w:r>
    </w:p>
    <w:p w14:paraId="5D289D32" w14:textId="77777777" w:rsidR="00890A16" w:rsidRPr="00890A16" w:rsidRDefault="00890A16" w:rsidP="00890A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890A16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CA"/>
          <w14:ligatures w14:val="none"/>
        </w:rPr>
        <w:t>⚖️</w:t>
      </w:r>
      <w:r w:rsidRPr="00890A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 xml:space="preserve"> 3. Functional Perspective — Pros and Cautions</w:t>
      </w:r>
    </w:p>
    <w:p w14:paraId="7A23644C" w14:textId="77777777" w:rsidR="00890A16" w:rsidRPr="00890A16" w:rsidRDefault="00890A16" w:rsidP="00890A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Functional ranges help identify </w:t>
      </w:r>
      <w:r w:rsidRPr="00890A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early dysfunction</w:t>
      </w: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before clinical disease.</w:t>
      </w:r>
    </w:p>
    <w:p w14:paraId="3ACBAF58" w14:textId="77777777" w:rsidR="00890A16" w:rsidRPr="00890A16" w:rsidRDefault="00890A16" w:rsidP="00890A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They can guide </w:t>
      </w:r>
      <w:r w:rsidRPr="00890A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preventive nutrition and lifestyle</w:t>
      </w: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recommendations.</w:t>
      </w:r>
    </w:p>
    <w:p w14:paraId="3312A700" w14:textId="77777777" w:rsidR="00890A16" w:rsidRPr="00890A16" w:rsidRDefault="00890A16" w:rsidP="00890A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But—interpretation must stay within </w:t>
      </w:r>
      <w:r w:rsidRPr="00890A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non-diagnostic scope</w:t>
      </w: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. We can talk about </w:t>
      </w:r>
      <w:r w:rsidRPr="00890A1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  <w:t>function</w:t>
      </w: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, </w:t>
      </w:r>
      <w:r w:rsidRPr="00890A1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  <w:t>patterns</w:t>
      </w: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, or </w:t>
      </w:r>
      <w:r w:rsidRPr="00890A1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  <w:t>imbalances</w:t>
      </w: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, not </w:t>
      </w:r>
      <w:r w:rsidRPr="00890A1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  <w:t>disease</w:t>
      </w: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</w:t>
      </w:r>
    </w:p>
    <w:p w14:paraId="6D9D7148" w14:textId="77777777" w:rsidR="00890A16" w:rsidRPr="00890A16" w:rsidRDefault="00890A16" w:rsidP="00890A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Over-interpretation can create fear or confusion if clients think they’re “sick” when they’re not.</w:t>
      </w:r>
    </w:p>
    <w:p w14:paraId="4C0FBF88" w14:textId="77777777" w:rsidR="00890A16" w:rsidRPr="00890A16" w:rsidRDefault="00890A16" w:rsidP="00890A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4BC4088F">
          <v:rect id="_x0000_i1027" style="width:0;height:1.5pt" o:hralign="center" o:hrstd="t" o:hr="t" fillcolor="#a0a0a0" stroked="f"/>
        </w:pict>
      </w:r>
    </w:p>
    <w:p w14:paraId="13339F4C" w14:textId="77777777" w:rsidR="00890A16" w:rsidRPr="00890A16" w:rsidRDefault="00890A16" w:rsidP="00890A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890A16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CA"/>
          <w14:ligatures w14:val="none"/>
        </w:rPr>
        <w:t>🧠</w:t>
      </w:r>
      <w:r w:rsidRPr="00890A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 xml:space="preserve"> 4. Staying Within Scope</w:t>
      </w:r>
    </w:p>
    <w:p w14:paraId="3E72E6C0" w14:textId="77777777" w:rsidR="00890A16" w:rsidRPr="00890A16" w:rsidRDefault="00890A16" w:rsidP="00890A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Our role is to </w:t>
      </w:r>
      <w:r w:rsidRPr="00890A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educate, not diagnose</w:t>
      </w: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. We can help clients understand what the numbers </w:t>
      </w:r>
      <w:r w:rsidRPr="00890A1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  <w:t>mean in context</w:t>
      </w: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of symptoms, nutrition, and lifestyle.</w:t>
      </w:r>
    </w:p>
    <w:p w14:paraId="590B19CF" w14:textId="77777777" w:rsidR="00890A16" w:rsidRPr="00890A16" w:rsidRDefault="00890A16" w:rsidP="00890A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Always refer back to the client’s healthcare provider for any </w:t>
      </w:r>
      <w:r w:rsidRPr="00890A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medical interpretation or treatment</w:t>
      </w: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</w:t>
      </w:r>
    </w:p>
    <w:p w14:paraId="19E9EDAC" w14:textId="77777777" w:rsidR="00890A16" w:rsidRPr="00890A16" w:rsidRDefault="00890A16" w:rsidP="00890A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Focus on </w:t>
      </w:r>
      <w:r w:rsidRPr="00890A1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  <w:t>patterns of suboptimal function</w:t>
      </w: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(e.g., energy, digestion, detox capacity) rather than disease terms.</w:t>
      </w:r>
    </w:p>
    <w:p w14:paraId="3E4FA04C" w14:textId="77777777" w:rsidR="00890A16" w:rsidRPr="00890A16" w:rsidRDefault="00890A16" w:rsidP="00890A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3A8939C1">
          <v:rect id="_x0000_i1028" style="width:0;height:1.5pt" o:hralign="center" o:hrstd="t" o:hr="t" fillcolor="#a0a0a0" stroked="f"/>
        </w:pict>
      </w:r>
    </w:p>
    <w:p w14:paraId="0FC56206" w14:textId="77777777" w:rsidR="00890A16" w:rsidRPr="00890A16" w:rsidRDefault="00890A16" w:rsidP="00890A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890A16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CA"/>
          <w14:ligatures w14:val="none"/>
        </w:rPr>
        <w:t>📊</w:t>
      </w:r>
      <w:r w:rsidRPr="00890A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 xml:space="preserve"> 5. Integrating Functional Thinking Responsibly</w:t>
      </w:r>
    </w:p>
    <w:p w14:paraId="224E2E90" w14:textId="77777777" w:rsidR="00890A16" w:rsidRPr="00890A16" w:rsidRDefault="00890A16" w:rsidP="00890A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lastRenderedPageBreak/>
        <w:t xml:space="preserve">Use functional ranges as </w:t>
      </w:r>
      <w:r w:rsidRPr="00890A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conversation tools</w:t>
      </w: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 not conclusions.</w:t>
      </w:r>
    </w:p>
    <w:p w14:paraId="2C5D0E80" w14:textId="77777777" w:rsidR="00890A16" w:rsidRPr="00890A16" w:rsidRDefault="00890A16" w:rsidP="00890A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Combine lab data with:</w:t>
      </w:r>
    </w:p>
    <w:p w14:paraId="09020338" w14:textId="77777777" w:rsidR="00890A16" w:rsidRPr="00890A16" w:rsidRDefault="00890A16" w:rsidP="00890A1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Symptom patterns</w:t>
      </w:r>
    </w:p>
    <w:p w14:paraId="2D423018" w14:textId="77777777" w:rsidR="00890A16" w:rsidRPr="00890A16" w:rsidRDefault="00890A16" w:rsidP="00890A1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Dietary habits</w:t>
      </w:r>
    </w:p>
    <w:p w14:paraId="5F3BDDC3" w14:textId="77777777" w:rsidR="00890A16" w:rsidRPr="00890A16" w:rsidRDefault="00890A16" w:rsidP="00890A1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Stress and sleep quality</w:t>
      </w:r>
    </w:p>
    <w:p w14:paraId="16B761E7" w14:textId="77777777" w:rsidR="00890A16" w:rsidRPr="00890A16" w:rsidRDefault="00890A16" w:rsidP="00890A1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Gut and metabolic function indicators</w:t>
      </w:r>
    </w:p>
    <w:p w14:paraId="14338927" w14:textId="77777777" w:rsidR="00890A16" w:rsidRPr="00890A16" w:rsidRDefault="00890A16" w:rsidP="00890A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Example: Slightly high-normal ALT could open a discussion about diet quality, alcohol intake, or gut permeability—not imply liver disease.</w:t>
      </w:r>
    </w:p>
    <w:p w14:paraId="1821536B" w14:textId="77777777" w:rsidR="00890A16" w:rsidRPr="00890A16" w:rsidRDefault="00890A16" w:rsidP="00890A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3D7978DB">
          <v:rect id="_x0000_i1029" style="width:0;height:1.5pt" o:hralign="center" o:hrstd="t" o:hr="t" fillcolor="#a0a0a0" stroked="f"/>
        </w:pict>
      </w:r>
    </w:p>
    <w:p w14:paraId="5189F6D4" w14:textId="77777777" w:rsidR="00890A16" w:rsidRPr="00890A16" w:rsidRDefault="00890A16" w:rsidP="00890A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890A16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CA"/>
          <w14:ligatures w14:val="none"/>
        </w:rPr>
        <w:t>🧩</w:t>
      </w:r>
      <w:r w:rsidRPr="00890A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 xml:space="preserve"> 6. Where Practitioners Can Add Value</w:t>
      </w:r>
    </w:p>
    <w:p w14:paraId="34CEFD61" w14:textId="77777777" w:rsidR="00890A16" w:rsidRPr="00890A16" w:rsidRDefault="00890A16" w:rsidP="00890A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Translate data into </w:t>
      </w:r>
      <w:r w:rsidRPr="00890A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actionable food and lifestyle strategies</w:t>
      </w: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</w:t>
      </w:r>
    </w:p>
    <w:p w14:paraId="03DB4E54" w14:textId="77777777" w:rsidR="00890A16" w:rsidRPr="00890A16" w:rsidRDefault="00890A16" w:rsidP="00890A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Use functional markers to </w:t>
      </w:r>
      <w:r w:rsidRPr="00890A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motivate behavior change</w:t>
      </w: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rather than fear.</w:t>
      </w:r>
    </w:p>
    <w:p w14:paraId="0F58A910" w14:textId="77777777" w:rsidR="00890A16" w:rsidRPr="00890A16" w:rsidRDefault="00890A16" w:rsidP="00890A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Provide context: “Your results are within normal range, but here’s how we can support your body to function better.”</w:t>
      </w:r>
    </w:p>
    <w:p w14:paraId="575A754C" w14:textId="77777777" w:rsidR="00890A16" w:rsidRPr="00890A16" w:rsidRDefault="00890A16" w:rsidP="00890A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781E37EE">
          <v:rect id="_x0000_i1030" style="width:0;height:1.5pt" o:hralign="center" o:hrstd="t" o:hr="t" fillcolor="#a0a0a0" stroked="f"/>
        </w:pict>
      </w:r>
    </w:p>
    <w:p w14:paraId="4452BE13" w14:textId="77777777" w:rsidR="00890A16" w:rsidRPr="00890A16" w:rsidRDefault="00890A16" w:rsidP="00890A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890A16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CA"/>
          <w14:ligatures w14:val="none"/>
        </w:rPr>
        <w:t>💬</w:t>
      </w:r>
      <w:r w:rsidRPr="00890A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 xml:space="preserve"> 7. Discussion Questions for the Group</w:t>
      </w:r>
    </w:p>
    <w:p w14:paraId="3552B419" w14:textId="77777777" w:rsidR="00890A16" w:rsidRPr="00890A16" w:rsidRDefault="00890A16" w:rsidP="00890A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How do you decide when to discuss functional vs. standard ranges with clients?</w:t>
      </w:r>
    </w:p>
    <w:p w14:paraId="40D3EAB7" w14:textId="77777777" w:rsidR="00890A16" w:rsidRPr="00890A16" w:rsidRDefault="00890A16" w:rsidP="00890A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What language do you use to avoid stepping outside scope?</w:t>
      </w:r>
    </w:p>
    <w:p w14:paraId="1CE03AD6" w14:textId="77777777" w:rsidR="00890A16" w:rsidRPr="00890A16" w:rsidRDefault="00890A16" w:rsidP="00890A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Which labs do you find most useful for spotting early trends (e.g., fasting insulin, ferritin, </w:t>
      </w:r>
      <w:proofErr w:type="spellStart"/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hs</w:t>
      </w:r>
      <w:proofErr w:type="spellEnd"/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-CRP, ALT, thyroid)?</w:t>
      </w:r>
    </w:p>
    <w:p w14:paraId="613DDABD" w14:textId="77777777" w:rsidR="00890A16" w:rsidRPr="00890A16" w:rsidRDefault="00890A16" w:rsidP="00890A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890A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How do you handle it when a client brings you “functional range” results that contradict their doctor’s interpretation?</w:t>
      </w:r>
    </w:p>
    <w:p w14:paraId="26B180EB" w14:textId="77777777" w:rsidR="008F4AA9" w:rsidRDefault="008F4AA9"/>
    <w:sectPr w:rsidR="008F4A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2EE0"/>
    <w:multiLevelType w:val="multilevel"/>
    <w:tmpl w:val="0EFAC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50290"/>
    <w:multiLevelType w:val="multilevel"/>
    <w:tmpl w:val="ED0EC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725B8B"/>
    <w:multiLevelType w:val="multilevel"/>
    <w:tmpl w:val="1D5CD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6E2E90"/>
    <w:multiLevelType w:val="multilevel"/>
    <w:tmpl w:val="250CB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5D4EB0"/>
    <w:multiLevelType w:val="multilevel"/>
    <w:tmpl w:val="D72E9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AF1DFA"/>
    <w:multiLevelType w:val="multilevel"/>
    <w:tmpl w:val="47EE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A0312C"/>
    <w:multiLevelType w:val="multilevel"/>
    <w:tmpl w:val="61AA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9379528">
    <w:abstractNumId w:val="2"/>
  </w:num>
  <w:num w:numId="2" w16cid:durableId="491919654">
    <w:abstractNumId w:val="1"/>
  </w:num>
  <w:num w:numId="3" w16cid:durableId="665204305">
    <w:abstractNumId w:val="4"/>
  </w:num>
  <w:num w:numId="4" w16cid:durableId="275068136">
    <w:abstractNumId w:val="6"/>
  </w:num>
  <w:num w:numId="5" w16cid:durableId="1080951366">
    <w:abstractNumId w:val="5"/>
  </w:num>
  <w:num w:numId="6" w16cid:durableId="383482668">
    <w:abstractNumId w:val="3"/>
  </w:num>
  <w:num w:numId="7" w16cid:durableId="1008021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16"/>
    <w:rsid w:val="0002221F"/>
    <w:rsid w:val="004C1C64"/>
    <w:rsid w:val="00594516"/>
    <w:rsid w:val="00640A36"/>
    <w:rsid w:val="008626EF"/>
    <w:rsid w:val="00890A16"/>
    <w:rsid w:val="008C0372"/>
    <w:rsid w:val="008F4AA9"/>
    <w:rsid w:val="00A61639"/>
    <w:rsid w:val="00B1052A"/>
    <w:rsid w:val="00D5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06EE7D"/>
  <w15:chartTrackingRefBased/>
  <w15:docId w15:val="{6FDC85B7-4384-4945-B65C-6EB17001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0A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0A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A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A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A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A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A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A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A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A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0A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A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A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0A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0A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A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A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A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0A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0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A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0A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0A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0A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A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0A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A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A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A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386</Words>
  <Characters>2263</Characters>
  <Application>Microsoft Office Word</Application>
  <DocSecurity>0</DocSecurity>
  <Lines>54</Lines>
  <Paragraphs>34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LORENE SAURO</dc:creator>
  <cp:keywords/>
  <dc:description/>
  <cp:lastModifiedBy>LORENE SAURO</cp:lastModifiedBy>
  <cp:revision>2</cp:revision>
  <dcterms:created xsi:type="dcterms:W3CDTF">2025-10-06T14:49:00Z</dcterms:created>
  <dcterms:modified xsi:type="dcterms:W3CDTF">2025-10-06T19:05:00Z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eb6905a7-ea83-4c3b-9ca3-dafd37ad653f</vt:lpwstr>
  </property>
</Properties>
</file>