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D4603" w14:textId="77777777" w:rsidR="00EF7374" w:rsidRPr="00EF7374" w:rsidRDefault="00EF7374" w:rsidP="00EF73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>Opening Context: The Rise of Nutrition Hype</w:t>
      </w:r>
    </w:p>
    <w:p w14:paraId="54C3BDDA" w14:textId="77777777" w:rsidR="00EF7374" w:rsidRPr="00EF7374" w:rsidRDefault="00EF7374" w:rsidP="00EF73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Key Point:</w:t>
      </w: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Nutrition trends spread faster than ever through influencers, short-form videos, and algorithmic reinforcement.</w:t>
      </w:r>
    </w:p>
    <w:p w14:paraId="74572916" w14:textId="77777777" w:rsidR="00EF7374" w:rsidRPr="00EF7374" w:rsidRDefault="00EF7374" w:rsidP="00EF73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Example:</w:t>
      </w: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“One day it’s berberine as ‘nature’s Ozempic’; the next, it’s everyone quitting seed oils or doing cold plunges for metabolism.”</w:t>
      </w:r>
    </w:p>
    <w:p w14:paraId="4ED0297A" w14:textId="77777777" w:rsidR="00EF7374" w:rsidRPr="00EF7374" w:rsidRDefault="00EF7374" w:rsidP="00EF73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Talking Question:</w:t>
      </w: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How often do clients bring up these trends before there’s solid evidence?</w:t>
      </w:r>
    </w:p>
    <w:p w14:paraId="22D40A29" w14:textId="77777777" w:rsidR="00EF7374" w:rsidRPr="00EF7374" w:rsidRDefault="00EF7374" w:rsidP="00EF737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553B8D9E">
          <v:rect id="_x0000_i1025" style="width:0;height:1.5pt" o:hralign="center" o:hrstd="t" o:hr="t" fillcolor="#a0a0a0" stroked="f"/>
        </w:pict>
      </w:r>
    </w:p>
    <w:p w14:paraId="3B967C65" w14:textId="77777777" w:rsidR="00EF7374" w:rsidRPr="00EF7374" w:rsidRDefault="00EF7374" w:rsidP="00EF73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EF7374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n-CA"/>
          <w14:ligatures w14:val="none"/>
        </w:rPr>
        <w:t>🔍</w:t>
      </w:r>
      <w:r w:rsidRPr="00EF73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 xml:space="preserve"> 2. Evaluating New Trends: A Practitioner Framework</w:t>
      </w:r>
    </w:p>
    <w:p w14:paraId="172EFCB2" w14:textId="77777777" w:rsidR="00EF7374" w:rsidRPr="00EF7374" w:rsidRDefault="00EF7374" w:rsidP="00EF73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Encourage colleagues to apply a </w:t>
      </w:r>
      <w:r w:rsidRPr="00EF73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“filter before adoption”</w:t>
      </w: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approach using these criteria: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3073"/>
        <w:gridCol w:w="4698"/>
      </w:tblGrid>
      <w:tr w:rsidR="00EF7374" w:rsidRPr="00EF7374" w14:paraId="77E41CE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A0EF84" w14:textId="77777777" w:rsidR="00EF7374" w:rsidRPr="00EF7374" w:rsidRDefault="00EF7374" w:rsidP="00E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CA"/>
                <w14:ligatures w14:val="none"/>
              </w:rPr>
              <w:t>Evaluation Lens</w:t>
            </w:r>
          </w:p>
        </w:tc>
        <w:tc>
          <w:tcPr>
            <w:tcW w:w="0" w:type="auto"/>
            <w:vAlign w:val="center"/>
            <w:hideMark/>
          </w:tcPr>
          <w:p w14:paraId="39114CEE" w14:textId="77777777" w:rsidR="00EF7374" w:rsidRPr="00EF7374" w:rsidRDefault="00EF7374" w:rsidP="00E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CA"/>
                <w14:ligatures w14:val="none"/>
              </w:rPr>
              <w:t>Guiding Question</w:t>
            </w:r>
          </w:p>
        </w:tc>
        <w:tc>
          <w:tcPr>
            <w:tcW w:w="0" w:type="auto"/>
            <w:vAlign w:val="center"/>
            <w:hideMark/>
          </w:tcPr>
          <w:p w14:paraId="67C12638" w14:textId="77777777" w:rsidR="00EF7374" w:rsidRPr="00EF7374" w:rsidRDefault="00EF7374" w:rsidP="00E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CA"/>
                <w14:ligatures w14:val="none"/>
              </w:rPr>
              <w:t>Example</w:t>
            </w:r>
          </w:p>
        </w:tc>
      </w:tr>
      <w:tr w:rsidR="00EF7374" w:rsidRPr="00EF7374" w14:paraId="7C2B2F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53BE9" w14:textId="77777777" w:rsidR="00EF7374" w:rsidRPr="00EF7374" w:rsidRDefault="00EF7374" w:rsidP="00EF73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CA"/>
                <w14:ligatures w14:val="none"/>
              </w:rPr>
              <w:t>Mechanism</w:t>
            </w:r>
          </w:p>
        </w:tc>
        <w:tc>
          <w:tcPr>
            <w:tcW w:w="0" w:type="auto"/>
            <w:vAlign w:val="center"/>
            <w:hideMark/>
          </w:tcPr>
          <w:p w14:paraId="66480E78" w14:textId="77777777" w:rsidR="00EF7374" w:rsidRPr="00EF7374" w:rsidRDefault="00EF7374" w:rsidP="00EF73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Is there a plausible physiological or microbial mechanism?</w:t>
            </w:r>
          </w:p>
        </w:tc>
        <w:tc>
          <w:tcPr>
            <w:tcW w:w="0" w:type="auto"/>
            <w:vAlign w:val="center"/>
            <w:hideMark/>
          </w:tcPr>
          <w:p w14:paraId="755FED9A" w14:textId="77777777" w:rsidR="00EF7374" w:rsidRPr="00EF7374" w:rsidRDefault="00EF7374" w:rsidP="00EF73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Intermittent fasting: plausible circadian and insulin regulation effects.</w:t>
            </w:r>
          </w:p>
        </w:tc>
      </w:tr>
      <w:tr w:rsidR="00EF7374" w:rsidRPr="00EF7374" w14:paraId="51A8BD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C058EF" w14:textId="77777777" w:rsidR="00EF7374" w:rsidRPr="00EF7374" w:rsidRDefault="00EF7374" w:rsidP="00EF73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CA"/>
                <w14:ligatures w14:val="none"/>
              </w:rPr>
              <w:t>Evidence Base</w:t>
            </w:r>
          </w:p>
        </w:tc>
        <w:tc>
          <w:tcPr>
            <w:tcW w:w="0" w:type="auto"/>
            <w:vAlign w:val="center"/>
            <w:hideMark/>
          </w:tcPr>
          <w:p w14:paraId="31208298" w14:textId="77777777" w:rsidR="00EF7374" w:rsidRPr="00EF7374" w:rsidRDefault="00EF7374" w:rsidP="00EF73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Are there human studies, or just cell/animal data?</w:t>
            </w:r>
          </w:p>
        </w:tc>
        <w:tc>
          <w:tcPr>
            <w:tcW w:w="0" w:type="auto"/>
            <w:vAlign w:val="center"/>
            <w:hideMark/>
          </w:tcPr>
          <w:p w14:paraId="473EDCC8" w14:textId="77777777" w:rsidR="00EF7374" w:rsidRPr="00EF7374" w:rsidRDefault="00EF7374" w:rsidP="00EF73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Seed oils: large population data supports safety; online fear stems from oxidation myths.</w:t>
            </w:r>
          </w:p>
        </w:tc>
      </w:tr>
      <w:tr w:rsidR="00EF7374" w:rsidRPr="00EF7374" w14:paraId="2FCDC8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6D2223" w14:textId="77777777" w:rsidR="00EF7374" w:rsidRPr="00EF7374" w:rsidRDefault="00EF7374" w:rsidP="00EF73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CA"/>
                <w14:ligatures w14:val="none"/>
              </w:rPr>
              <w:t>Applicability</w:t>
            </w:r>
          </w:p>
        </w:tc>
        <w:tc>
          <w:tcPr>
            <w:tcW w:w="0" w:type="auto"/>
            <w:vAlign w:val="center"/>
            <w:hideMark/>
          </w:tcPr>
          <w:p w14:paraId="62C36F8E" w14:textId="77777777" w:rsidR="00EF7374" w:rsidRPr="00EF7374" w:rsidRDefault="00EF7374" w:rsidP="00EF73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Does it serve the client’s goals or context?</w:t>
            </w:r>
          </w:p>
        </w:tc>
        <w:tc>
          <w:tcPr>
            <w:tcW w:w="0" w:type="auto"/>
            <w:vAlign w:val="center"/>
            <w:hideMark/>
          </w:tcPr>
          <w:p w14:paraId="7E9B886D" w14:textId="77777777" w:rsidR="00EF7374" w:rsidRPr="00EF7374" w:rsidRDefault="00EF7374" w:rsidP="00EF73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“Superfood” powders may help convenience-focused clients, but not necessary if diet is already diverse.</w:t>
            </w:r>
          </w:p>
        </w:tc>
      </w:tr>
      <w:tr w:rsidR="00EF7374" w:rsidRPr="00EF7374" w14:paraId="11D0E2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9AE058" w14:textId="77777777" w:rsidR="00EF7374" w:rsidRPr="00EF7374" w:rsidRDefault="00EF7374" w:rsidP="00EF73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CA"/>
                <w14:ligatures w14:val="none"/>
              </w:rPr>
              <w:t>Risk vs. Benefit</w:t>
            </w:r>
          </w:p>
        </w:tc>
        <w:tc>
          <w:tcPr>
            <w:tcW w:w="0" w:type="auto"/>
            <w:vAlign w:val="center"/>
            <w:hideMark/>
          </w:tcPr>
          <w:p w14:paraId="449D2FBD" w14:textId="77777777" w:rsidR="00EF7374" w:rsidRPr="00EF7374" w:rsidRDefault="00EF7374" w:rsidP="00EF73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Any potential for harm or nutrient displacement?</w:t>
            </w:r>
          </w:p>
        </w:tc>
        <w:tc>
          <w:tcPr>
            <w:tcW w:w="0" w:type="auto"/>
            <w:vAlign w:val="center"/>
            <w:hideMark/>
          </w:tcPr>
          <w:p w14:paraId="5D3D4019" w14:textId="77777777" w:rsidR="00EF7374" w:rsidRPr="00EF7374" w:rsidRDefault="00EF7374" w:rsidP="00EF73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Extreme fasting → may worsen cortisol balance or eating patterns.</w:t>
            </w:r>
          </w:p>
        </w:tc>
      </w:tr>
      <w:tr w:rsidR="00EF7374" w:rsidRPr="00EF7374" w14:paraId="15E3D5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803781" w14:textId="77777777" w:rsidR="00EF7374" w:rsidRPr="00EF7374" w:rsidRDefault="00EF7374" w:rsidP="00EF73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CA"/>
                <w14:ligatures w14:val="none"/>
              </w:rPr>
              <w:t>Sustainability</w:t>
            </w:r>
          </w:p>
        </w:tc>
        <w:tc>
          <w:tcPr>
            <w:tcW w:w="0" w:type="auto"/>
            <w:vAlign w:val="center"/>
            <w:hideMark/>
          </w:tcPr>
          <w:p w14:paraId="72DDFAB8" w14:textId="77777777" w:rsidR="00EF7374" w:rsidRPr="00EF7374" w:rsidRDefault="00EF7374" w:rsidP="00EF73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Can this realistically fit into daily life long-term?</w:t>
            </w:r>
          </w:p>
        </w:tc>
        <w:tc>
          <w:tcPr>
            <w:tcW w:w="0" w:type="auto"/>
            <w:vAlign w:val="center"/>
            <w:hideMark/>
          </w:tcPr>
          <w:p w14:paraId="48E86126" w14:textId="77777777" w:rsidR="00EF7374" w:rsidRPr="00EF7374" w:rsidRDefault="00EF7374" w:rsidP="00EF73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F73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Keto for weight loss may fail long-term adherence tests.</w:t>
            </w:r>
          </w:p>
        </w:tc>
      </w:tr>
    </w:tbl>
    <w:p w14:paraId="608F1CDA" w14:textId="77777777" w:rsidR="00EF7374" w:rsidRPr="00EF7374" w:rsidRDefault="00EF7374" w:rsidP="00EF737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68B4C7BA">
          <v:rect id="_x0000_i1026" style="width:0;height:1.5pt" o:hralign="center" o:hrstd="t" o:hr="t" fillcolor="#a0a0a0" stroked="f"/>
        </w:pict>
      </w:r>
    </w:p>
    <w:p w14:paraId="6D52B42E" w14:textId="77777777" w:rsidR="00EF7374" w:rsidRPr="00EF7374" w:rsidRDefault="00EF7374" w:rsidP="00EF73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EF7374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n-CA"/>
          <w14:ligatures w14:val="none"/>
        </w:rPr>
        <w:t>⚖️</w:t>
      </w:r>
      <w:r w:rsidRPr="00EF73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 xml:space="preserve"> 3. Encouraging Client Curiosity Without Feeding Hype</w:t>
      </w:r>
    </w:p>
    <w:p w14:paraId="18D73283" w14:textId="77777777" w:rsidR="00EF7374" w:rsidRPr="00EF7374" w:rsidRDefault="00EF7374" w:rsidP="00EF73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Key Message:</w:t>
      </w: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Curiosity is valuable—dogma isn’t.</w:t>
      </w:r>
    </w:p>
    <w:p w14:paraId="12B9915A" w14:textId="77777777" w:rsidR="00EF7374" w:rsidRPr="00EF7374" w:rsidRDefault="00EF7374" w:rsidP="00EF73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Reframe Examples:</w:t>
      </w:r>
    </w:p>
    <w:p w14:paraId="7409E14A" w14:textId="77777777" w:rsidR="00EF7374" w:rsidRPr="00EF7374" w:rsidRDefault="00EF7374" w:rsidP="00EF737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Instead of “That trend is wrong,” try: “Let’s see what the science says so far, and whether it fits </w:t>
      </w:r>
      <w:r w:rsidRPr="00EF73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you</w:t>
      </w: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.”</w:t>
      </w:r>
    </w:p>
    <w:p w14:paraId="3A14CB8B" w14:textId="77777777" w:rsidR="00EF7374" w:rsidRPr="00EF7374" w:rsidRDefault="00EF7374" w:rsidP="00EF737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Encourage clients to experiment gently—e.g., trying a 12-hour overnight fast rather than jumping into 20:4 fasting.</w:t>
      </w:r>
    </w:p>
    <w:p w14:paraId="4AD1707B" w14:textId="77777777" w:rsidR="00EF7374" w:rsidRPr="00EF7374" w:rsidRDefault="00EF7374" w:rsidP="00EF73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Talking Question:</w:t>
      </w: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How do we validate a client’s interest without endorsing misinformation?</w:t>
      </w:r>
    </w:p>
    <w:p w14:paraId="5FD5087B" w14:textId="77777777" w:rsidR="00EF7374" w:rsidRPr="00EF7374" w:rsidRDefault="00EF7374" w:rsidP="00EF737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7A5F28E5">
          <v:rect id="_x0000_i1027" style="width:0;height:1.5pt" o:hralign="center" o:hrstd="t" o:hr="t" fillcolor="#a0a0a0" stroked="f"/>
        </w:pict>
      </w:r>
    </w:p>
    <w:p w14:paraId="0AB342CF" w14:textId="77777777" w:rsidR="00EF7374" w:rsidRPr="00EF7374" w:rsidRDefault="00EF7374" w:rsidP="00EF73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EF7374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n-CA"/>
          <w14:ligatures w14:val="none"/>
        </w:rPr>
        <w:lastRenderedPageBreak/>
        <w:t>💡</w:t>
      </w:r>
      <w:r w:rsidRPr="00EF73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 xml:space="preserve"> 4. Using Trends as Teaching Opportunities</w:t>
      </w:r>
    </w:p>
    <w:p w14:paraId="1A16B6CC" w14:textId="77777777" w:rsidR="00EF7374" w:rsidRPr="00EF7374" w:rsidRDefault="00EF7374" w:rsidP="00EF73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Each trend can be a </w:t>
      </w:r>
      <w:r w:rsidRPr="00EF73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gateway to education</w:t>
      </w: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</w:t>
      </w:r>
    </w:p>
    <w:p w14:paraId="746F8167" w14:textId="77777777" w:rsidR="00EF7374" w:rsidRPr="00EF7374" w:rsidRDefault="00EF7374" w:rsidP="00EF73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Intermittent fasting →</w:t>
      </w: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talk about circadian rhythms, microbiome rest, and meal spacing.</w:t>
      </w:r>
    </w:p>
    <w:p w14:paraId="74C44FB0" w14:textId="77777777" w:rsidR="00EF7374" w:rsidRPr="00EF7374" w:rsidRDefault="00EF7374" w:rsidP="00EF73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Seed oils →</w:t>
      </w: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discuss balance of omega-6 and omega-3 fats, oxidative stability, and whole-food sources.</w:t>
      </w:r>
    </w:p>
    <w:p w14:paraId="2A321C22" w14:textId="77777777" w:rsidR="00EF7374" w:rsidRPr="00EF7374" w:rsidRDefault="00EF7374" w:rsidP="00EF73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Superfood powders →</w:t>
      </w: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connect to the concept of food synergy, polyphenol diversity, and why real foods do the same job.</w:t>
      </w:r>
    </w:p>
    <w:p w14:paraId="5F6E0E4E" w14:textId="77777777" w:rsidR="00EF7374" w:rsidRPr="00EF7374" w:rsidRDefault="00EF7374" w:rsidP="00EF73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“Anti-inflammatory” diets →</w:t>
      </w: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explore what inflammation actually means (acute vs. chronic) and which markers truly matter.</w:t>
      </w:r>
    </w:p>
    <w:p w14:paraId="1C27AAE4" w14:textId="77777777" w:rsidR="00EF7374" w:rsidRPr="00EF7374" w:rsidRDefault="00EF7374" w:rsidP="00EF73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Tip:</w:t>
      </w: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Position yourself as a translator between research and real-world behavior.</w:t>
      </w:r>
    </w:p>
    <w:p w14:paraId="38D3BD87" w14:textId="77777777" w:rsidR="00EF7374" w:rsidRPr="00EF7374" w:rsidRDefault="00EF7374" w:rsidP="00EF737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2FB0E2D6">
          <v:rect id="_x0000_i1028" style="width:0;height:1.5pt" o:hralign="center" o:hrstd="t" o:hr="t" fillcolor="#a0a0a0" stroked="f"/>
        </w:pict>
      </w:r>
    </w:p>
    <w:p w14:paraId="2E1AAF92" w14:textId="77777777" w:rsidR="00EF7374" w:rsidRPr="00EF7374" w:rsidRDefault="00EF7374" w:rsidP="00EF73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EF7374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n-CA"/>
          <w14:ligatures w14:val="none"/>
        </w:rPr>
        <w:t>🧠</w:t>
      </w:r>
      <w:r w:rsidRPr="00EF73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 xml:space="preserve"> 5. Building Critical Thinking Skills (for Clients and Practitioners)</w:t>
      </w:r>
    </w:p>
    <w:p w14:paraId="50CE5179" w14:textId="77777777" w:rsidR="00EF7374" w:rsidRPr="00EF7374" w:rsidRDefault="00EF7374" w:rsidP="00EF73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Encourage colleagues to model the same questioning we want clients to adopt:</w:t>
      </w:r>
    </w:p>
    <w:p w14:paraId="16187C35" w14:textId="77777777" w:rsidR="00EF7374" w:rsidRPr="00EF7374" w:rsidRDefault="00EF7374" w:rsidP="00EF73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“What’s the source of this claim?”</w:t>
      </w:r>
    </w:p>
    <w:p w14:paraId="4461AA49" w14:textId="77777777" w:rsidR="00EF7374" w:rsidRPr="00EF7374" w:rsidRDefault="00EF7374" w:rsidP="00EF73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“Is this study relevant to humans?”</w:t>
      </w:r>
    </w:p>
    <w:p w14:paraId="71CE92BA" w14:textId="77777777" w:rsidR="00EF7374" w:rsidRPr="00EF7374" w:rsidRDefault="00EF7374" w:rsidP="00EF73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“Does this fit within a layered, diverse food pattern?”</w:t>
      </w:r>
    </w:p>
    <w:p w14:paraId="1CDFCC1A" w14:textId="77777777" w:rsidR="00EF7374" w:rsidRPr="00EF7374" w:rsidRDefault="00EF7374" w:rsidP="00EF73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“Would I still recommend this in 5 years if it weren’t trendy?”</w:t>
      </w:r>
    </w:p>
    <w:p w14:paraId="50A5D5E4" w14:textId="77777777" w:rsidR="00EF7374" w:rsidRPr="00EF7374" w:rsidRDefault="00EF7374" w:rsidP="00EF73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Activity Idea:</w:t>
      </w: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Have each person bring a recent social media trend and assess it using the framework above.</w:t>
      </w:r>
    </w:p>
    <w:p w14:paraId="050B5A82" w14:textId="77777777" w:rsidR="00EF7374" w:rsidRPr="00EF7374" w:rsidRDefault="00EF7374" w:rsidP="00EF737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2FFAF925">
          <v:rect id="_x0000_i1029" style="width:0;height:1.5pt" o:hralign="center" o:hrstd="t" o:hr="t" fillcolor="#a0a0a0" stroked="f"/>
        </w:pict>
      </w:r>
    </w:p>
    <w:p w14:paraId="1F9BD611" w14:textId="77777777" w:rsidR="00EF7374" w:rsidRPr="00EF7374" w:rsidRDefault="00EF7374" w:rsidP="00EF73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EF7374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n-CA"/>
          <w14:ligatures w14:val="none"/>
        </w:rPr>
        <w:t>🌿</w:t>
      </w:r>
      <w:r w:rsidRPr="00EF73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 xml:space="preserve"> 6. Bringing It Back to Sustainable Change</w:t>
      </w:r>
    </w:p>
    <w:p w14:paraId="386FFD6D" w14:textId="77777777" w:rsidR="00EF7374" w:rsidRPr="00EF7374" w:rsidRDefault="00EF7374" w:rsidP="00EF73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Trends can </w:t>
      </w:r>
      <w:r w:rsidRPr="00EF73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spark</w:t>
      </w: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motivation—but sustainable change comes from food literacy, self-awareness, and long-term consistency.</w:t>
      </w:r>
    </w:p>
    <w:p w14:paraId="3B5A21BA" w14:textId="77777777" w:rsidR="00EF7374" w:rsidRPr="00EF7374" w:rsidRDefault="00EF7374" w:rsidP="00EF73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Example Discussion Point:</w:t>
      </w:r>
    </w:p>
    <w:p w14:paraId="0BCCC254" w14:textId="77777777" w:rsidR="00EF7374" w:rsidRPr="00EF7374" w:rsidRDefault="00EF7374" w:rsidP="00EF737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Compare two paths: a client trying 10-day detox challenges versus one improving microbial diversity over six months.</w:t>
      </w:r>
    </w:p>
    <w:p w14:paraId="4947B741" w14:textId="77777777" w:rsidR="00EF7374" w:rsidRPr="00EF7374" w:rsidRDefault="00EF7374" w:rsidP="00EF737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Ask: Which path leads to resilience, not just results?</w:t>
      </w:r>
    </w:p>
    <w:p w14:paraId="5F4E0EEE" w14:textId="77777777" w:rsidR="00EF7374" w:rsidRPr="00EF7374" w:rsidRDefault="00EF7374" w:rsidP="00EF737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4A34CC45">
          <v:rect id="_x0000_i1030" style="width:0;height:1.5pt" o:hralign="center" o:hrstd="t" o:hr="t" fillcolor="#a0a0a0" stroked="f"/>
        </w:pict>
      </w:r>
    </w:p>
    <w:p w14:paraId="509FA3E4" w14:textId="77777777" w:rsidR="00EF7374" w:rsidRPr="00EF7374" w:rsidRDefault="00EF7374" w:rsidP="00EF73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EF7374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n-CA"/>
          <w14:ligatures w14:val="none"/>
        </w:rPr>
        <w:lastRenderedPageBreak/>
        <w:t>🗣️</w:t>
      </w:r>
      <w:r w:rsidRPr="00EF73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 xml:space="preserve"> 7. Closing Reflection Questions</w:t>
      </w:r>
    </w:p>
    <w:p w14:paraId="175F3D18" w14:textId="77777777" w:rsidR="00EF7374" w:rsidRPr="00EF7374" w:rsidRDefault="00EF7374" w:rsidP="00EF73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Which trends have </w:t>
      </w:r>
      <w:r w:rsidRPr="00EF73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surprised you</w:t>
      </w: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by turning out to have merit (e.g., fasting mimicking diets, resistant starch)?</w:t>
      </w:r>
    </w:p>
    <w:p w14:paraId="3BB77E56" w14:textId="77777777" w:rsidR="00EF7374" w:rsidRPr="00EF7374" w:rsidRDefault="00EF7374" w:rsidP="00EF73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Which ones have caused client confusion or harm?</w:t>
      </w:r>
    </w:p>
    <w:p w14:paraId="09768110" w14:textId="77777777" w:rsidR="00EF7374" w:rsidRPr="00EF7374" w:rsidRDefault="00EF7374" w:rsidP="00EF73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EF737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How can we communicate “progressive curiosity” — staying open but grounded — in our public messaging?</w:t>
      </w:r>
    </w:p>
    <w:p w14:paraId="6C5D1DF3" w14:textId="77777777" w:rsidR="008F4AA9" w:rsidRDefault="008F4AA9"/>
    <w:sectPr w:rsidR="008F4A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B2491"/>
    <w:multiLevelType w:val="multilevel"/>
    <w:tmpl w:val="2DBA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2188D"/>
    <w:multiLevelType w:val="multilevel"/>
    <w:tmpl w:val="107C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20157"/>
    <w:multiLevelType w:val="multilevel"/>
    <w:tmpl w:val="4380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B13147"/>
    <w:multiLevelType w:val="multilevel"/>
    <w:tmpl w:val="4FA00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D2C68"/>
    <w:multiLevelType w:val="multilevel"/>
    <w:tmpl w:val="9454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AA4457"/>
    <w:multiLevelType w:val="multilevel"/>
    <w:tmpl w:val="2436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9309340">
    <w:abstractNumId w:val="4"/>
  </w:num>
  <w:num w:numId="2" w16cid:durableId="952713684">
    <w:abstractNumId w:val="1"/>
  </w:num>
  <w:num w:numId="3" w16cid:durableId="1236353537">
    <w:abstractNumId w:val="0"/>
  </w:num>
  <w:num w:numId="4" w16cid:durableId="1501500978">
    <w:abstractNumId w:val="5"/>
  </w:num>
  <w:num w:numId="5" w16cid:durableId="619529155">
    <w:abstractNumId w:val="2"/>
  </w:num>
  <w:num w:numId="6" w16cid:durableId="1836140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374"/>
    <w:rsid w:val="0002221F"/>
    <w:rsid w:val="00594516"/>
    <w:rsid w:val="00640A36"/>
    <w:rsid w:val="008626EF"/>
    <w:rsid w:val="008C0372"/>
    <w:rsid w:val="008F4AA9"/>
    <w:rsid w:val="00A8403C"/>
    <w:rsid w:val="00B1052A"/>
    <w:rsid w:val="00D5549C"/>
    <w:rsid w:val="00E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659C04"/>
  <w15:chartTrackingRefBased/>
  <w15:docId w15:val="{BBAD6960-A98F-41BA-977C-388B7B4A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3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3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3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3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3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3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3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3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3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3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3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3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3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3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3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3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3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3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3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3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3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3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2948</Characters>
  <Application>Microsoft Office Word</Application>
  <DocSecurity>0</DocSecurity>
  <Lines>89</Lines>
  <Paragraphs>61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LORENE SAURO</dc:creator>
  <cp:keywords/>
  <dc:description/>
  <cp:lastModifiedBy>LORENE SAURO</cp:lastModifiedBy>
  <cp:revision>1</cp:revision>
  <dcterms:created xsi:type="dcterms:W3CDTF">2025-11-03T04:21:00Z</dcterms:created>
  <dcterms:modified xsi:type="dcterms:W3CDTF">2025-11-03T04:22:00Z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a5bc3473-7bdb-44f8-853e-521aeb1224ae</vt:lpwstr>
  </property>
</Properties>
</file>